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6AF" w:rsidRPr="00C026AF" w:rsidRDefault="00C026AF" w:rsidP="00C026AF">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C026AF">
        <w:rPr>
          <w:rFonts w:eastAsia="Times New Roman" w:cstheme="minorHAnsi"/>
          <w:b/>
          <w:bCs/>
          <w:color w:val="000000"/>
          <w:kern w:val="36"/>
          <w:sz w:val="28"/>
          <w:szCs w:val="28"/>
          <w:lang w:eastAsia="fr-FR"/>
        </w:rPr>
        <w:t xml:space="preserve">Le groupe sidérurgique Tata </w:t>
      </w:r>
      <w:proofErr w:type="spellStart"/>
      <w:r w:rsidRPr="00C026AF">
        <w:rPr>
          <w:rFonts w:eastAsia="Times New Roman" w:cstheme="minorHAnsi"/>
          <w:b/>
          <w:bCs/>
          <w:color w:val="000000"/>
          <w:kern w:val="36"/>
          <w:sz w:val="28"/>
          <w:szCs w:val="28"/>
          <w:lang w:eastAsia="fr-FR"/>
        </w:rPr>
        <w:t>Steel</w:t>
      </w:r>
      <w:proofErr w:type="spellEnd"/>
      <w:r w:rsidRPr="00C026AF">
        <w:rPr>
          <w:rFonts w:eastAsia="Times New Roman" w:cstheme="minorHAnsi"/>
          <w:b/>
          <w:bCs/>
          <w:color w:val="000000"/>
          <w:kern w:val="36"/>
          <w:sz w:val="28"/>
          <w:szCs w:val="28"/>
          <w:lang w:eastAsia="fr-FR"/>
        </w:rPr>
        <w:t xml:space="preserve"> souhaiterait supprimer 1 250 emplois en</w:t>
      </w:r>
      <w:r>
        <w:rPr>
          <w:rFonts w:eastAsia="Times New Roman" w:cstheme="minorHAnsi"/>
          <w:b/>
          <w:bCs/>
          <w:color w:val="000000"/>
          <w:kern w:val="36"/>
          <w:sz w:val="28"/>
          <w:szCs w:val="28"/>
          <w:lang w:eastAsia="fr-FR"/>
        </w:rPr>
        <w:t xml:space="preserve"> </w:t>
      </w:r>
      <w:r w:rsidRPr="00C026AF">
        <w:rPr>
          <w:rFonts w:eastAsia="Times New Roman" w:cstheme="minorHAnsi"/>
          <w:b/>
          <w:bCs/>
          <w:color w:val="000000"/>
          <w:kern w:val="36"/>
          <w:sz w:val="28"/>
          <w:szCs w:val="28"/>
          <w:lang w:eastAsia="fr-FR"/>
        </w:rPr>
        <w:t>Europe</w:t>
      </w:r>
    </w:p>
    <w:p w:rsidR="00C026AF" w:rsidRPr="00C026AF" w:rsidRDefault="00C026AF" w:rsidP="00C026AF">
      <w:pPr>
        <w:spacing w:line="495" w:lineRule="atLeast"/>
        <w:outlineLvl w:val="1"/>
        <w:rPr>
          <w:rFonts w:eastAsia="Times New Roman" w:cstheme="minorHAnsi"/>
          <w:lang w:eastAsia="fr-FR"/>
        </w:rPr>
      </w:pPr>
      <w:r w:rsidRPr="00C026AF">
        <w:rPr>
          <w:rFonts w:eastAsia="Times New Roman" w:cstheme="minorHAnsi"/>
          <w:lang w:eastAsia="fr-FR"/>
        </w:rPr>
        <w:t xml:space="preserve">Le plan d'économies de Tata </w:t>
      </w:r>
      <w:proofErr w:type="spellStart"/>
      <w:r w:rsidRPr="00C026AF">
        <w:rPr>
          <w:rFonts w:eastAsia="Times New Roman" w:cstheme="minorHAnsi"/>
          <w:lang w:eastAsia="fr-FR"/>
        </w:rPr>
        <w:t>Steel</w:t>
      </w:r>
      <w:proofErr w:type="spellEnd"/>
      <w:r w:rsidRPr="00C026AF">
        <w:rPr>
          <w:rFonts w:eastAsia="Times New Roman" w:cstheme="minorHAnsi"/>
          <w:lang w:eastAsia="fr-FR"/>
        </w:rPr>
        <w:t xml:space="preserve"> en Europe se précise. Le groupe sidérurgique indien s'apprêterait à supprimer 1 250 postes selon une note interne de l'entreprise qui a fuité le 10 mars.</w:t>
      </w:r>
      <w:r w:rsidRPr="00C026AF">
        <w:rPr>
          <w:rFonts w:eastAsia="Times New Roman" w:cstheme="minorHAnsi"/>
          <w:lang w:eastAsia="fr-FR"/>
        </w:rPr>
        <w:t xml:space="preserve"> </w:t>
      </w:r>
    </w:p>
    <w:p w:rsidR="00C026AF" w:rsidRPr="00C026AF" w:rsidRDefault="00C026AF" w:rsidP="00C026AF">
      <w:pPr>
        <w:spacing w:before="100" w:beforeAutospacing="1" w:after="100" w:afterAutospacing="1"/>
        <w:rPr>
          <w:rFonts w:eastAsia="Times New Roman" w:cstheme="minorHAnsi"/>
          <w:lang w:eastAsia="fr-FR"/>
        </w:rPr>
      </w:pPr>
      <w:hyperlink r:id="rId5" w:tooltip="Toutes les infos sur le groupe industriel indien Tata" w:history="1">
        <w:r w:rsidRPr="00C026AF">
          <w:rPr>
            <w:rFonts w:eastAsia="Times New Roman" w:cstheme="minorHAnsi"/>
            <w:color w:val="000000"/>
            <w:u w:val="single"/>
            <w:lang w:eastAsia="fr-FR"/>
          </w:rPr>
          <w:t>Tata</w:t>
        </w:r>
      </w:hyperlink>
      <w:r w:rsidRPr="00C026AF">
        <w:rPr>
          <w:rFonts w:eastAsia="Times New Roman" w:cstheme="minorHAnsi"/>
          <w:lang w:eastAsia="fr-FR"/>
        </w:rPr>
        <w:t> </w:t>
      </w:r>
      <w:proofErr w:type="spellStart"/>
      <w:r w:rsidRPr="00C026AF">
        <w:rPr>
          <w:rFonts w:eastAsia="Times New Roman" w:cstheme="minorHAnsi"/>
          <w:lang w:eastAsia="fr-FR"/>
        </w:rPr>
        <w:t>Steel</w:t>
      </w:r>
      <w:proofErr w:type="spellEnd"/>
      <w:r w:rsidRPr="00C026AF">
        <w:rPr>
          <w:rFonts w:eastAsia="Times New Roman" w:cstheme="minorHAnsi"/>
          <w:lang w:eastAsia="fr-FR"/>
        </w:rPr>
        <w:t xml:space="preserve"> prévoit de supprimer 1 250 emplois en Europe dans une note interne que Reuters a pu consulter mardi 10 mars. Le groupe sidérurgique indien fait face à des "circonstances délicates", a déclaré le directeur général Henrik Adam.</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color w:val="BB0D22"/>
          <w:lang w:eastAsia="fr-FR"/>
        </w:rPr>
        <w:t>"Besoin urgent d'améliorer notre situation de trésorerie"</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lang w:eastAsia="fr-FR"/>
        </w:rPr>
        <w:t xml:space="preserve">"Notre situation financière est grave et il y a un besoin urgent d'améliorer la performance de notre entreprise et notre situation de trésorerie", a écrit le directeur général. En marge de cette suppression d'emplois, Tata </w:t>
      </w:r>
      <w:proofErr w:type="spellStart"/>
      <w:r w:rsidRPr="00C026AF">
        <w:rPr>
          <w:rFonts w:eastAsia="Times New Roman" w:cstheme="minorHAnsi"/>
          <w:lang w:eastAsia="fr-FR"/>
        </w:rPr>
        <w:t>Steel</w:t>
      </w:r>
      <w:proofErr w:type="spellEnd"/>
      <w:r w:rsidRPr="00C026AF">
        <w:rPr>
          <w:rFonts w:eastAsia="Times New Roman" w:cstheme="minorHAnsi"/>
          <w:lang w:eastAsia="fr-FR"/>
        </w:rPr>
        <w:t xml:space="preserve"> a déclaré qu'il ne remplacerait pas les salariés partis à la retraite ou ayant quitté l'entreprise.</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lang w:eastAsia="fr-FR"/>
        </w:rPr>
        <w:t>D'après la note interne, le groupe indien a présenté les détails d'un programme de transformation de ses activités et continue d'échanger avec ses représentants en Europe pour réduire autant que possible le nombre de suppressions d'emplois. Le périmètre des sites concernés n'est pas encore connu.</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color w:val="BB0D22"/>
          <w:lang w:eastAsia="fr-FR"/>
        </w:rPr>
        <w:t>20 000 salariés en Europe</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lang w:eastAsia="fr-FR"/>
        </w:rPr>
        <w:t>Un plan social de 1 250 emplois serait moitié moins important que celui annoncé en 2019 par l'entreprise. En novembre 2019, </w:t>
      </w:r>
      <w:hyperlink r:id="rId6" w:tgtFrame="_blank" w:history="1">
        <w:r w:rsidRPr="00C026AF">
          <w:rPr>
            <w:rFonts w:eastAsia="Times New Roman" w:cstheme="minorHAnsi"/>
            <w:color w:val="000000"/>
            <w:u w:val="single"/>
            <w:lang w:eastAsia="fr-FR"/>
          </w:rPr>
          <w:t>le groupe indien avait indiqué vouloir supprimer 3 000 emplois en Europe</w:t>
        </w:r>
      </w:hyperlink>
      <w:r w:rsidRPr="00C026AF">
        <w:rPr>
          <w:rFonts w:eastAsia="Times New Roman" w:cstheme="minorHAnsi"/>
          <w:lang w:eastAsia="fr-FR"/>
        </w:rPr>
        <w:t> dans un contexte difficile pour l'acier. À ce moment, deux tiers des suppressions envisagées concernaient des emplois de bureau.</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lang w:eastAsia="fr-FR"/>
        </w:rPr>
        <w:t>Le groupe indien compte quelque 20 000 salariés en Europe. Il dispose notamment d'usines aux Pays-Bas et au Pays de Galles où l'usine géante de Port Talbot emploie 4 000 personnes.</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lang w:eastAsia="fr-FR"/>
        </w:rPr>
        <w:t xml:space="preserve">En France, l'industriel compte un centre de service à Corbeil-Essonnes (Essonne) dédié aux produits parachevés et à la transformation de bobines mères en bandes refendues de précision, en feuilles déroulées et en flans cisaillés. Baptisé </w:t>
      </w:r>
      <w:proofErr w:type="spellStart"/>
      <w:r w:rsidRPr="00C026AF">
        <w:rPr>
          <w:rFonts w:eastAsia="Times New Roman" w:cstheme="minorHAnsi"/>
          <w:lang w:eastAsia="fr-FR"/>
        </w:rPr>
        <w:t>Unitol</w:t>
      </w:r>
      <w:proofErr w:type="spellEnd"/>
      <w:r w:rsidRPr="00C026AF">
        <w:rPr>
          <w:rFonts w:eastAsia="Times New Roman" w:cstheme="minorHAnsi"/>
          <w:lang w:eastAsia="fr-FR"/>
        </w:rPr>
        <w:t>, ce centre fournit notamment le secteur automobile.</w:t>
      </w:r>
    </w:p>
    <w:p w:rsidR="00C026AF" w:rsidRPr="00C026AF" w:rsidRDefault="00C026AF" w:rsidP="00C026AF">
      <w:pPr>
        <w:spacing w:before="100" w:beforeAutospacing="1" w:after="100" w:afterAutospacing="1"/>
        <w:rPr>
          <w:rFonts w:eastAsia="Times New Roman" w:cstheme="minorHAnsi"/>
          <w:lang w:eastAsia="fr-FR"/>
        </w:rPr>
      </w:pPr>
      <w:r w:rsidRPr="00C026AF">
        <w:rPr>
          <w:rFonts w:eastAsia="Times New Roman" w:cstheme="minorHAnsi"/>
          <w:b/>
          <w:bCs/>
          <w:i/>
          <w:iCs/>
          <w:lang w:eastAsia="fr-FR"/>
        </w:rPr>
        <w:t xml:space="preserve">Avec Reuters (Ismail </w:t>
      </w:r>
      <w:proofErr w:type="spellStart"/>
      <w:r w:rsidRPr="00C026AF">
        <w:rPr>
          <w:rFonts w:eastAsia="Times New Roman" w:cstheme="minorHAnsi"/>
          <w:b/>
          <w:bCs/>
          <w:i/>
          <w:iCs/>
          <w:lang w:eastAsia="fr-FR"/>
        </w:rPr>
        <w:t>Shakil</w:t>
      </w:r>
      <w:proofErr w:type="spellEnd"/>
      <w:r w:rsidRPr="00C026AF">
        <w:rPr>
          <w:rFonts w:eastAsia="Times New Roman" w:cstheme="minorHAnsi"/>
          <w:b/>
          <w:bCs/>
          <w:i/>
          <w:iCs/>
          <w:lang w:eastAsia="fr-FR"/>
        </w:rPr>
        <w:t xml:space="preserve"> et </w:t>
      </w:r>
      <w:proofErr w:type="spellStart"/>
      <w:r w:rsidRPr="00C026AF">
        <w:rPr>
          <w:rFonts w:eastAsia="Times New Roman" w:cstheme="minorHAnsi"/>
          <w:b/>
          <w:bCs/>
          <w:i/>
          <w:iCs/>
          <w:lang w:eastAsia="fr-FR"/>
        </w:rPr>
        <w:t>Roshan</w:t>
      </w:r>
      <w:proofErr w:type="spellEnd"/>
      <w:r w:rsidRPr="00C026AF">
        <w:rPr>
          <w:rFonts w:eastAsia="Times New Roman" w:cstheme="minorHAnsi"/>
          <w:b/>
          <w:bCs/>
          <w:i/>
          <w:iCs/>
          <w:lang w:eastAsia="fr-FR"/>
        </w:rPr>
        <w:t xml:space="preserve"> Abraham à Bangalore; version française Jean </w:t>
      </w:r>
      <w:proofErr w:type="spellStart"/>
      <w:r w:rsidRPr="00C026AF">
        <w:rPr>
          <w:rFonts w:eastAsia="Times New Roman" w:cstheme="minorHAnsi"/>
          <w:b/>
          <w:bCs/>
          <w:i/>
          <w:iCs/>
          <w:lang w:eastAsia="fr-FR"/>
        </w:rPr>
        <w:t>Terzian</w:t>
      </w:r>
      <w:proofErr w:type="spellEnd"/>
      <w:r w:rsidRPr="00C026AF">
        <w:rPr>
          <w:rFonts w:eastAsia="Times New Roman" w:cstheme="minorHAnsi"/>
          <w:b/>
          <w:bCs/>
          <w:i/>
          <w:iCs/>
          <w:lang w:eastAsia="fr-FR"/>
        </w:rPr>
        <w:t>)</w:t>
      </w:r>
    </w:p>
    <w:p w:rsidR="00680491" w:rsidRPr="00C026AF" w:rsidRDefault="00680491">
      <w:pPr>
        <w:rPr>
          <w:rFonts w:cstheme="minorHAnsi"/>
        </w:rPr>
      </w:pPr>
    </w:p>
    <w:sectPr w:rsidR="00680491" w:rsidRPr="00C026A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0D5F"/>
    <w:multiLevelType w:val="multilevel"/>
    <w:tmpl w:val="628E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0435B"/>
    <w:multiLevelType w:val="multilevel"/>
    <w:tmpl w:val="823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3638D"/>
    <w:multiLevelType w:val="multilevel"/>
    <w:tmpl w:val="AC2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AF"/>
    <w:rsid w:val="000F156F"/>
    <w:rsid w:val="00680491"/>
    <w:rsid w:val="00C026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72129EF"/>
  <w15:chartTrackingRefBased/>
  <w15:docId w15:val="{A1AB02D2-F60C-B54E-98B4-035CF8A8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026A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026A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6A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026AF"/>
    <w:rPr>
      <w:rFonts w:ascii="Times New Roman" w:eastAsia="Times New Roman" w:hAnsi="Times New Roman" w:cs="Times New Roman"/>
      <w:b/>
      <w:bCs/>
      <w:sz w:val="36"/>
      <w:szCs w:val="36"/>
      <w:lang w:eastAsia="fr-FR"/>
    </w:rPr>
  </w:style>
  <w:style w:type="paragraph" w:customStyle="1" w:styleId="on">
    <w:name w:val="on"/>
    <w:basedOn w:val="Normal"/>
    <w:rsid w:val="00C026A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026AF"/>
    <w:rPr>
      <w:color w:val="0000FF"/>
      <w:u w:val="single"/>
    </w:rPr>
  </w:style>
  <w:style w:type="character" w:customStyle="1" w:styleId="tagart">
    <w:name w:val="tagart"/>
    <w:basedOn w:val="Policepardfaut"/>
    <w:rsid w:val="00C026AF"/>
  </w:style>
  <w:style w:type="paragraph" w:customStyle="1" w:styleId="datetime">
    <w:name w:val="datetime"/>
    <w:basedOn w:val="Normal"/>
    <w:rsid w:val="00C026AF"/>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C026AF"/>
  </w:style>
  <w:style w:type="paragraph" w:customStyle="1" w:styleId="titrebloc">
    <w:name w:val="titrebloc"/>
    <w:basedOn w:val="Normal"/>
    <w:rsid w:val="00C026AF"/>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C026AF"/>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C026AF"/>
  </w:style>
  <w:style w:type="paragraph" w:customStyle="1" w:styleId="btn-facebook">
    <w:name w:val="btn-facebook"/>
    <w:basedOn w:val="Normal"/>
    <w:rsid w:val="00C026AF"/>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C026AF"/>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C026AF"/>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C026AF"/>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C026AF"/>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C026AF"/>
  </w:style>
  <w:style w:type="character" w:styleId="Accentuation">
    <w:name w:val="Emphasis"/>
    <w:basedOn w:val="Policepardfaut"/>
    <w:uiPriority w:val="20"/>
    <w:qFormat/>
    <w:rsid w:val="00C02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3023">
      <w:bodyDiv w:val="1"/>
      <w:marLeft w:val="0"/>
      <w:marRight w:val="0"/>
      <w:marTop w:val="0"/>
      <w:marBottom w:val="0"/>
      <w:divBdr>
        <w:top w:val="none" w:sz="0" w:space="0" w:color="auto"/>
        <w:left w:val="none" w:sz="0" w:space="0" w:color="auto"/>
        <w:bottom w:val="none" w:sz="0" w:space="0" w:color="auto"/>
        <w:right w:val="none" w:sz="0" w:space="0" w:color="auto"/>
      </w:divBdr>
      <w:divsChild>
        <w:div w:id="724329976">
          <w:marLeft w:val="0"/>
          <w:marRight w:val="0"/>
          <w:marTop w:val="0"/>
          <w:marBottom w:val="0"/>
          <w:divBdr>
            <w:top w:val="none" w:sz="0" w:space="0" w:color="auto"/>
            <w:left w:val="none" w:sz="0" w:space="0" w:color="auto"/>
            <w:bottom w:val="none" w:sz="0" w:space="0" w:color="auto"/>
            <w:right w:val="none" w:sz="0" w:space="0" w:color="auto"/>
          </w:divBdr>
        </w:div>
        <w:div w:id="35199647">
          <w:marLeft w:val="0"/>
          <w:marRight w:val="450"/>
          <w:marTop w:val="600"/>
          <w:marBottom w:val="0"/>
          <w:divBdr>
            <w:top w:val="none" w:sz="0" w:space="0" w:color="auto"/>
            <w:left w:val="none" w:sz="0" w:space="0" w:color="auto"/>
            <w:bottom w:val="none" w:sz="0" w:space="0" w:color="auto"/>
            <w:right w:val="none" w:sz="0" w:space="0" w:color="auto"/>
          </w:divBdr>
          <w:divsChild>
            <w:div w:id="15275443">
              <w:marLeft w:val="0"/>
              <w:marRight w:val="0"/>
              <w:marTop w:val="0"/>
              <w:marBottom w:val="0"/>
              <w:divBdr>
                <w:top w:val="single" w:sz="48" w:space="0" w:color="BB0D22"/>
                <w:left w:val="none" w:sz="0" w:space="0" w:color="auto"/>
                <w:bottom w:val="none" w:sz="0" w:space="0" w:color="auto"/>
                <w:right w:val="none" w:sz="0" w:space="0" w:color="auto"/>
              </w:divBdr>
              <w:divsChild>
                <w:div w:id="803079555">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5919520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siderurgie-tata-steel-va-supprimer-3-000-emplois-en-europe.N904934" TargetMode="External"/><Relationship Id="rId5" Type="http://schemas.openxmlformats.org/officeDocument/2006/relationships/hyperlink" Target="https://www.usinenouvelle.com/tat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2020-03-12T07:29:00Z</dcterms:created>
  <dcterms:modified xsi:type="dcterms:W3CDTF">2020-03-12T07:31:00Z</dcterms:modified>
</cp:coreProperties>
</file>